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1CDB4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/>
        <w:jc w:val="center"/>
        <w:outlineLvl w:val="0"/>
        <w:rPr>
          <w:rFonts w:hint="eastAsia"/>
          <w:lang w:val="en-US" w:eastAsia="zh-CN"/>
        </w:rPr>
      </w:pPr>
      <w:r>
        <w:rPr>
          <w:rFonts w:hint="eastAsia" w:ascii="方正小标宋简体" w:eastAsia="方正小标宋简体" w:cs="宋体"/>
          <w:bCs w:val="0"/>
          <w:sz w:val="44"/>
          <w:szCs w:val="44"/>
          <w:lang w:val="en-US" w:eastAsia="zh-CN"/>
        </w:rPr>
        <w:t>信用修复移动端操作指南</w:t>
      </w:r>
      <w:bookmarkStart w:id="0" w:name="_GoBack"/>
      <w:bookmarkEnd w:id="0"/>
    </w:p>
    <w:p w14:paraId="675FB069">
      <w:pPr>
        <w:ind w:firstLine="480" w:firstLineChars="200"/>
        <w:rPr>
          <w:rFonts w:hint="eastAsia"/>
          <w:lang w:val="en-US" w:eastAsia="zh-CN"/>
        </w:rPr>
      </w:pPr>
    </w:p>
    <w:p w14:paraId="05C74217">
      <w:pPr>
        <w:ind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申请人需要登录广州企业一网通小程序，点击“我要办”，选择综合监管“信用修复”，办理信用修复相关业务。</w:t>
      </w:r>
    </w:p>
    <w:p w14:paraId="2DE061F0">
      <w:pPr>
        <w:pStyle w:val="2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2317750" cy="5342890"/>
            <wp:effectExtent l="9525" t="9525" r="15875" b="19685"/>
            <wp:docPr id="24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53428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347595" cy="5330190"/>
            <wp:effectExtent l="9525" t="9525" r="24130" b="13335"/>
            <wp:docPr id="25" name="图片 25" descr="73a09cbe5b783b732777ac291ccc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73a09cbe5b783b732777ac291ccc78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53301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FAA7ECF">
      <w:pPr>
        <w:ind w:firstLine="480" w:firstLineChars="200"/>
        <w:rPr>
          <w:rFonts w:hint="eastAsia"/>
        </w:rPr>
      </w:pPr>
      <w:r>
        <w:rPr>
          <w:rFonts w:hint="eastAsia"/>
          <w:lang w:val="en-US" w:eastAsia="zh-CN"/>
        </w:rPr>
        <w:t>申请人可进行办事指南页面，查阅各项信用修复办事指南和咨询指引，可根据相关文件进行下载办理信用修复业务。</w:t>
      </w:r>
    </w:p>
    <w:p w14:paraId="2B3DD3E4">
      <w:pPr>
        <w:ind w:firstLine="480" w:firstLineChars="200"/>
        <w:rPr>
          <w:rFonts w:hint="eastAsia"/>
        </w:rPr>
      </w:pPr>
      <w:r>
        <w:drawing>
          <wp:inline distT="0" distB="0" distL="114300" distR="114300">
            <wp:extent cx="2165985" cy="3701415"/>
            <wp:effectExtent l="9525" t="9525" r="15240" b="22860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5985" cy="37014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2335530" cy="3695065"/>
            <wp:effectExtent l="9525" t="9525" r="17145" b="10160"/>
            <wp:docPr id="1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5530" cy="36950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2F58F4">
      <w:pPr>
        <w:ind w:firstLine="480" w:firstLineChars="200"/>
        <w:rPr>
          <w:rFonts w:hint="eastAsia"/>
        </w:rPr>
      </w:pPr>
      <w:r>
        <w:rPr>
          <w:rFonts w:hint="eastAsia"/>
        </w:rPr>
        <w:t>进入信用修复页面，点击“</w:t>
      </w:r>
      <w:r>
        <w:rPr>
          <w:rFonts w:hint="eastAsia"/>
          <w:lang w:val="en-US" w:eastAsia="zh-CN"/>
        </w:rPr>
        <w:t>经营异常名录（状态）</w:t>
      </w:r>
      <w:r>
        <w:rPr>
          <w:rFonts w:hint="eastAsia"/>
        </w:rPr>
        <w:t>信用修复”，进入业务申请页面。</w:t>
      </w:r>
    </w:p>
    <w:p w14:paraId="5CC83811">
      <w:pPr>
        <w:tabs>
          <w:tab w:val="left" w:pos="1639"/>
        </w:tabs>
        <w:bidi w:val="0"/>
        <w:jc w:val="left"/>
      </w:pPr>
      <w:r>
        <w:rPr>
          <w:rFonts w:hint="eastAsia"/>
          <w:lang w:val="en-US" w:eastAsia="zh-CN"/>
        </w:rPr>
        <w:t xml:space="preserve">                      </w:t>
      </w:r>
      <w:r>
        <w:drawing>
          <wp:inline distT="0" distB="0" distL="114300" distR="114300">
            <wp:extent cx="2106930" cy="3787775"/>
            <wp:effectExtent l="9525" t="9525" r="17145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3787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BE5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>开始申办</w:t>
      </w:r>
      <w:r>
        <w:rPr>
          <w:rFonts w:hint="eastAsia"/>
          <w:lang w:val="en-US" w:eastAsia="zh-CN"/>
        </w:rPr>
        <w:t>经营异常名录（状态）</w:t>
      </w:r>
      <w:r>
        <w:rPr>
          <w:rFonts w:hint="eastAsia"/>
        </w:rPr>
        <w:t>移出业务。</w:t>
      </w:r>
      <w:r>
        <w:rPr>
          <w:rFonts w:hint="eastAsia"/>
          <w:lang w:val="en-US" w:eastAsia="zh-CN"/>
        </w:rPr>
        <w:t>申请人如果名下有企业的话，申请人可以选择需要办理业务的企业，系统自动补充</w:t>
      </w:r>
      <w:r>
        <w:rPr>
          <w:rFonts w:hint="eastAsia"/>
        </w:rPr>
        <w:t>注册号/统一社会信用代码、法定代表人、身份证号码等信息，</w:t>
      </w:r>
      <w:r>
        <w:rPr>
          <w:rFonts w:hint="eastAsia"/>
          <w:lang w:val="en-US" w:eastAsia="zh-CN"/>
        </w:rPr>
        <w:t>申请人只需确认信息</w:t>
      </w:r>
      <w:r>
        <w:rPr>
          <w:rFonts w:hint="eastAsia"/>
        </w:rPr>
        <w:t>，点击“登录”完成身份验证，并进入下一步。</w:t>
      </w:r>
      <w:r>
        <w:rPr>
          <w:rFonts w:hint="eastAsia"/>
          <w:lang w:val="en-US" w:eastAsia="zh-CN"/>
        </w:rPr>
        <w:t>如果需要办理其他的企业，可以选择其他，填写企业信息，点击“登录”。</w:t>
      </w:r>
    </w:p>
    <w:p w14:paraId="0BDA356F">
      <w:pPr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2348230" cy="5520690"/>
            <wp:effectExtent l="9525" t="9525" r="23495" b="13335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48230" cy="55206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2266315" cy="5521960"/>
            <wp:effectExtent l="9525" t="9525" r="10160" b="1206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66315" cy="55219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B6BE746">
      <w:pPr>
        <w:pStyle w:val="2"/>
        <w:rPr>
          <w:rFonts w:hint="eastAsia" w:ascii="Calibri" w:hAnsi="Calibri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299F9639">
      <w:pPr>
        <w:pStyle w:val="2"/>
        <w:ind w:firstLine="420" w:firstLineChars="0"/>
        <w:rPr>
          <w:rFonts w:hint="eastAsia" w:ascii="Calibri" w:hAnsi="Calibri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29E29BBD">
      <w:pPr>
        <w:pStyle w:val="2"/>
        <w:ind w:firstLine="420" w:firstLineChars="0"/>
        <w:rPr>
          <w:rFonts w:hint="eastAsia" w:ascii="Calibri" w:hAnsi="Calibri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color w:val="auto"/>
          <w:kern w:val="2"/>
          <w:sz w:val="24"/>
          <w:szCs w:val="24"/>
          <w:lang w:val="en-US" w:eastAsia="zh-CN" w:bidi="ar-SA"/>
        </w:rPr>
        <w:t>申请人</w:t>
      </w:r>
      <w:r>
        <w:rPr>
          <w:rFonts w:hint="eastAsia" w:ascii="Calibri" w:hAnsi="Calibri" w:cs="Times New Roman"/>
          <w:color w:val="auto"/>
          <w:kern w:val="2"/>
          <w:sz w:val="24"/>
          <w:szCs w:val="24"/>
          <w:lang w:val="en-US" w:eastAsia="zh-CN" w:bidi="ar-SA"/>
        </w:rPr>
        <w:t>如果名下没有企业的话，需要自行补充需要办理业务的企业信息，补充完成后，点击“登录”按钮，完成身份认证，进入下一环节。</w:t>
      </w:r>
    </w:p>
    <w:p w14:paraId="3D070BF3">
      <w:pPr>
        <w:pStyle w:val="2"/>
        <w:jc w:val="center"/>
        <w:rPr>
          <w:rFonts w:hint="default" w:ascii="Calibri" w:hAnsi="Calibri" w:cs="Times New Roman"/>
          <w:color w:val="auto"/>
          <w:kern w:val="2"/>
          <w:sz w:val="24"/>
          <w:szCs w:val="24"/>
          <w:lang w:val="en-US" w:eastAsia="zh-CN" w:bidi="ar-SA"/>
        </w:rPr>
      </w:pPr>
      <w:r>
        <w:drawing>
          <wp:inline distT="0" distB="0" distL="114300" distR="114300">
            <wp:extent cx="1784985" cy="3270250"/>
            <wp:effectExtent l="9525" t="9525" r="15240" b="1587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3270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F0EB61">
      <w:r>
        <w:tab/>
      </w:r>
      <w:r>
        <w:rPr>
          <w:rFonts w:hint="eastAsia"/>
        </w:rPr>
        <w:t>申请人选择需要修复的列异信息，</w:t>
      </w:r>
      <w:r>
        <w:rPr>
          <w:rFonts w:hint="eastAsia"/>
          <w:lang w:val="en-US" w:eastAsia="zh-CN"/>
        </w:rPr>
        <w:t>如果是一起办理可一起勾选列异信息，</w:t>
      </w:r>
      <w:r>
        <w:rPr>
          <w:rFonts w:hint="eastAsia"/>
        </w:rPr>
        <w:t>点击移出申请，进入下一步。</w:t>
      </w:r>
    </w:p>
    <w:p w14:paraId="5DB2AF6F">
      <w:pPr>
        <w:jc w:val="center"/>
      </w:pPr>
      <w:r>
        <w:drawing>
          <wp:inline distT="0" distB="0" distL="114300" distR="114300">
            <wp:extent cx="2052955" cy="4144010"/>
            <wp:effectExtent l="9525" t="9525" r="13970" b="1841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41440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271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hint="eastAsia"/>
        </w:rPr>
        <w:t>申请人核查主体信息、列</w:t>
      </w:r>
      <w:r>
        <w:rPr>
          <w:rFonts w:hint="eastAsia"/>
          <w:lang w:val="en-US" w:eastAsia="zh-CN"/>
        </w:rPr>
        <w:t>异</w:t>
      </w:r>
      <w:r>
        <w:rPr>
          <w:rFonts w:hint="eastAsia"/>
        </w:rPr>
        <w:t>信息，</w:t>
      </w:r>
      <w:r>
        <w:rPr>
          <w:rFonts w:hint="eastAsia"/>
          <w:lang w:val="en-US" w:eastAsia="zh-CN"/>
        </w:rPr>
        <w:t>填写法人手机号，</w:t>
      </w:r>
      <w:r>
        <w:rPr>
          <w:rFonts w:hint="eastAsia"/>
        </w:rPr>
        <w:t>然后上传材料，点击提交，</w:t>
      </w:r>
      <w:r>
        <w:rPr>
          <w:rFonts w:hint="eastAsia"/>
          <w:lang w:val="en-US" w:eastAsia="zh-CN"/>
        </w:rPr>
        <w:t>查阅守信承诺书并点击确认，</w:t>
      </w:r>
      <w:r>
        <w:rPr>
          <w:rFonts w:hint="eastAsia"/>
        </w:rPr>
        <w:t>提交成功会跳转申请提交成功页面，即可完成</w:t>
      </w:r>
      <w:r>
        <w:rPr>
          <w:rFonts w:hint="eastAsia"/>
          <w:lang w:val="en-US" w:eastAsia="zh-CN"/>
        </w:rPr>
        <w:t>经营异常名录（状态）</w:t>
      </w:r>
      <w:r>
        <w:rPr>
          <w:rFonts w:hint="eastAsia"/>
        </w:rPr>
        <w:t>信用修复业务申请。</w:t>
      </w:r>
    </w:p>
    <w:p w14:paraId="164AF56F">
      <w:pPr>
        <w:jc w:val="center"/>
      </w:pPr>
      <w:r>
        <w:drawing>
          <wp:inline distT="0" distB="0" distL="114300" distR="114300">
            <wp:extent cx="2062480" cy="3570605"/>
            <wp:effectExtent l="9525" t="9525" r="23495" b="2032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35706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066925" cy="3607435"/>
            <wp:effectExtent l="9525" t="9525" r="19050" b="2159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6074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4DB1DC"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2070735" cy="3709035"/>
            <wp:effectExtent l="9525" t="9525" r="15240" b="1524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37090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2038985" cy="3671570"/>
            <wp:effectExtent l="9525" t="9525" r="27940" b="14605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36715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57B33F">
      <w:pPr>
        <w:pStyle w:val="2"/>
      </w:pPr>
    </w:p>
    <w:p w14:paraId="722EBF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color w:val="auto"/>
          <w:kern w:val="2"/>
          <w:sz w:val="24"/>
          <w:szCs w:val="24"/>
          <w:lang w:val="en-US" w:eastAsia="zh-CN" w:bidi="ar-SA"/>
        </w:rPr>
        <w:t>办理完业务后，可返回首页</w:t>
      </w:r>
      <w:r>
        <w:rPr>
          <w:rFonts w:hint="eastAsia" w:ascii="Calibri" w:hAnsi="Calibri" w:cs="Times New Roman"/>
          <w:color w:val="auto"/>
          <w:kern w:val="2"/>
          <w:sz w:val="24"/>
          <w:szCs w:val="24"/>
          <w:lang w:val="en-US" w:eastAsia="zh-CN" w:bidi="ar-SA"/>
        </w:rPr>
        <w:t>，点击“进度查询”查询进度。进入“进度查询”页面，会</w:t>
      </w:r>
      <w:r>
        <w:rPr>
          <w:rFonts w:ascii="宋体" w:hAnsi="宋体" w:eastAsia="宋体" w:cs="宋体"/>
          <w:sz w:val="24"/>
          <w:szCs w:val="24"/>
        </w:rPr>
        <w:t>弹出</w:t>
      </w:r>
      <w:r>
        <w:rPr>
          <w:rFonts w:hint="eastAsia" w:cs="宋体"/>
          <w:sz w:val="24"/>
          <w:szCs w:val="24"/>
          <w:lang w:val="en-US" w:eastAsia="zh-CN"/>
        </w:rPr>
        <w:t>带有</w:t>
      </w:r>
      <w:r>
        <w:rPr>
          <w:rFonts w:ascii="宋体" w:hAnsi="宋体" w:eastAsia="宋体" w:cs="宋体"/>
          <w:sz w:val="24"/>
          <w:szCs w:val="24"/>
        </w:rPr>
        <w:t>登录人</w:t>
      </w:r>
      <w:r>
        <w:rPr>
          <w:rFonts w:hint="eastAsia" w:cs="宋体"/>
          <w:sz w:val="24"/>
          <w:szCs w:val="24"/>
          <w:lang w:val="en-US" w:eastAsia="zh-CN"/>
        </w:rPr>
        <w:t>当前登录的</w:t>
      </w:r>
      <w:r>
        <w:rPr>
          <w:rFonts w:ascii="宋体" w:hAnsi="宋体" w:eastAsia="宋体" w:cs="宋体"/>
          <w:sz w:val="24"/>
          <w:szCs w:val="24"/>
        </w:rPr>
        <w:t>手机号码</w:t>
      </w:r>
      <w:r>
        <w:rPr>
          <w:rFonts w:hint="eastAsia" w:cs="宋体"/>
          <w:sz w:val="24"/>
          <w:szCs w:val="24"/>
          <w:lang w:val="en-US" w:eastAsia="zh-CN"/>
        </w:rPr>
        <w:t>的弹窗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cs="宋体"/>
          <w:sz w:val="24"/>
          <w:szCs w:val="24"/>
          <w:lang w:val="en-US" w:eastAsia="zh-CN"/>
        </w:rPr>
        <w:t>点击确认后会</w:t>
      </w:r>
      <w:r>
        <w:rPr>
          <w:rFonts w:ascii="宋体" w:hAnsi="宋体" w:eastAsia="宋体" w:cs="宋体"/>
          <w:sz w:val="24"/>
          <w:szCs w:val="24"/>
        </w:rPr>
        <w:t>查询出关联</w:t>
      </w:r>
      <w:r>
        <w:rPr>
          <w:rFonts w:hint="eastAsia" w:cs="宋体"/>
          <w:sz w:val="24"/>
          <w:szCs w:val="24"/>
          <w:lang w:val="en-US" w:eastAsia="zh-CN"/>
        </w:rPr>
        <w:t>该</w:t>
      </w:r>
      <w:r>
        <w:rPr>
          <w:rFonts w:ascii="宋体" w:hAnsi="宋体" w:eastAsia="宋体" w:cs="宋体"/>
          <w:sz w:val="24"/>
          <w:szCs w:val="24"/>
        </w:rPr>
        <w:t>手机号码的企业</w:t>
      </w:r>
      <w:r>
        <w:rPr>
          <w:rFonts w:hint="eastAsia" w:cs="宋体"/>
          <w:sz w:val="24"/>
          <w:szCs w:val="24"/>
          <w:lang w:val="en-US" w:eastAsia="zh-CN"/>
        </w:rPr>
        <w:t>所办理业务的进度。同时，也支持登录人</w:t>
      </w:r>
      <w:r>
        <w:rPr>
          <w:rFonts w:ascii="宋体" w:hAnsi="宋体" w:eastAsia="宋体" w:cs="宋体"/>
          <w:sz w:val="24"/>
          <w:szCs w:val="24"/>
        </w:rPr>
        <w:t>输入以前申请时</w:t>
      </w:r>
      <w:r>
        <w:rPr>
          <w:rFonts w:hint="eastAsia" w:cs="宋体"/>
          <w:sz w:val="24"/>
          <w:szCs w:val="24"/>
          <w:lang w:val="en-US" w:eastAsia="zh-CN"/>
        </w:rPr>
        <w:t>用的</w:t>
      </w:r>
      <w:r>
        <w:rPr>
          <w:rFonts w:ascii="宋体" w:hAnsi="宋体" w:eastAsia="宋体" w:cs="宋体"/>
          <w:sz w:val="24"/>
          <w:szCs w:val="24"/>
        </w:rPr>
        <w:t>号码</w:t>
      </w:r>
      <w:r>
        <w:rPr>
          <w:rFonts w:hint="eastAsia" w:cs="宋体"/>
          <w:sz w:val="24"/>
          <w:szCs w:val="24"/>
          <w:lang w:val="en-US" w:eastAsia="zh-CN"/>
        </w:rPr>
        <w:t>查询业务进度。</w:t>
      </w:r>
    </w:p>
    <w:p w14:paraId="4903B4A9">
      <w:pPr>
        <w:pStyle w:val="2"/>
      </w:pPr>
      <w:r>
        <w:drawing>
          <wp:inline distT="0" distB="0" distL="114300" distR="114300">
            <wp:extent cx="2062480" cy="4476750"/>
            <wp:effectExtent l="9525" t="9525" r="23495" b="9525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4476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2193290" cy="4443730"/>
            <wp:effectExtent l="9525" t="9525" r="26035" b="23495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93290" cy="44437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1BE2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96D00"/>
    <w:rsid w:val="13D230EA"/>
    <w:rsid w:val="191D0717"/>
    <w:rsid w:val="1B34094E"/>
    <w:rsid w:val="1D29365D"/>
    <w:rsid w:val="1E0019C8"/>
    <w:rsid w:val="1FD55029"/>
    <w:rsid w:val="1FF420CA"/>
    <w:rsid w:val="2BF516A1"/>
    <w:rsid w:val="30050634"/>
    <w:rsid w:val="3689229E"/>
    <w:rsid w:val="3B296D00"/>
    <w:rsid w:val="42B26150"/>
    <w:rsid w:val="43AD7A13"/>
    <w:rsid w:val="47C01122"/>
    <w:rsid w:val="48626FDE"/>
    <w:rsid w:val="5103371A"/>
    <w:rsid w:val="5A4F7972"/>
    <w:rsid w:val="5C0D78FC"/>
    <w:rsid w:val="76E123D9"/>
    <w:rsid w:val="786F6D3C"/>
    <w:rsid w:val="7F48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宋体"/>
      <w:color w:val="000000"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Office_12.8.2.20793_F1E327BC-269C-435d-A152-05C5408002CA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2025-06-18T07:55:00Z</dcterms:created>
  <dc:creator>杨敏</dc:creator>
  <cp:lastModifiedBy>杨敏</cp:lastModifiedBy>
  <dcterms:modified xsi:type="dcterms:W3CDTF">2025-06-20T08:50:03Z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2052-12.8.2.20793</vt:lpwstr>
  </property>
  <property fmtid="{D5CDD505-2E9C-101B-9397-08002B2CF9AE}" pid="3" name="ICV">
    <vt:lpwstr>061F484D2AE847B19596D9454E3C0158_13</vt:lpwstr>
  </property>
</Properties>
</file>